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8DB3E2" w:themeFill="text2" w:themeFillTint="66"/>
        <w:spacing w:lineRule="auto" w:line="276" w:before="0" w:after="0"/>
        <w:ind w:left="-993" w:hanging="0"/>
        <w:jc w:val="left"/>
        <w:rPr>
          <w:b/>
          <w:b/>
          <w:sz w:val="28"/>
          <w:szCs w:val="28"/>
        </w:rPr>
      </w:pPr>
      <w:r>
        <w:rPr/>
        <w:drawing>
          <wp:inline distT="0" distB="0" distL="0" distR="0">
            <wp:extent cx="1219200" cy="5334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219200" cy="533400"/>
                    </a:xfrm>
                    <a:prstGeom prst="rect">
                      <a:avLst/>
                    </a:prstGeom>
                  </pic:spPr>
                </pic:pic>
              </a:graphicData>
            </a:graphic>
          </wp:inline>
        </w:drawing>
      </w:r>
      <w:r>
        <w:rPr>
          <w:b/>
          <w:sz w:val="28"/>
          <w:szCs w:val="28"/>
        </w:rPr>
        <w:t xml:space="preserve">        </w:t>
      </w:r>
      <w:r>
        <w:rPr>
          <w:b/>
          <w:sz w:val="28"/>
          <w:szCs w:val="28"/>
        </w:rPr>
        <w:t>Notice Technique : Prévention des noyades et développement de l’aisance aquatique ANS 2020</w:t>
      </w:r>
    </w:p>
    <w:p>
      <w:pPr>
        <w:pStyle w:val="Normal"/>
        <w:spacing w:lineRule="auto" w:line="276" w:before="0" w:after="0"/>
        <w:jc w:val="left"/>
        <w:rPr/>
      </w:pPr>
      <w:r>
        <w:rPr/>
        <mc:AlternateContent>
          <mc:Choice Requires="wps">
            <w:drawing>
              <wp:anchor behindDoc="0" distT="0" distB="0" distL="114300" distR="114300" simplePos="0" locked="0" layoutInCell="1" allowOverlap="1" relativeHeight="2">
                <wp:simplePos x="0" y="0"/>
                <wp:positionH relativeFrom="column">
                  <wp:posOffset>-659130</wp:posOffset>
                </wp:positionH>
                <wp:positionV relativeFrom="paragraph">
                  <wp:posOffset>50800</wp:posOffset>
                </wp:positionV>
                <wp:extent cx="4632960" cy="2284730"/>
                <wp:effectExtent l="0" t="0" r="15875" b="20955"/>
                <wp:wrapNone/>
                <wp:docPr id="2" name="Rectangle à coins arrondis 7"/>
                <a:graphic xmlns:a="http://schemas.openxmlformats.org/drawingml/2006/main">
                  <a:graphicData uri="http://schemas.microsoft.com/office/word/2010/wordprocessingShape">
                    <wps:wsp>
                      <wps:cNvSpPr/>
                      <wps:spPr>
                        <a:xfrm>
                          <a:off x="0" y="0"/>
                          <a:ext cx="4632480" cy="228420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b/>
                                <w:b/>
                                <w:sz w:val="24"/>
                                <w:szCs w:val="24"/>
                              </w:rPr>
                            </w:pPr>
                            <w:r>
                              <w:rPr>
                                <w:b/>
                                <w:color w:val="FFFFFF"/>
                                <w:sz w:val="24"/>
                                <w:szCs w:val="24"/>
                              </w:rPr>
                              <w:t>QUELLES ACTIONS ELIGIBLES ?</w:t>
                            </w:r>
                          </w:p>
                          <w:p>
                            <w:pPr>
                              <w:pStyle w:val="ListParagraph"/>
                              <w:numPr>
                                <w:ilvl w:val="0"/>
                                <w:numId w:val="1"/>
                              </w:numPr>
                              <w:ind w:left="426" w:hanging="426"/>
                              <w:rPr>
                                <w:sz w:val="24"/>
                                <w:szCs w:val="24"/>
                              </w:rPr>
                            </w:pPr>
                            <w:r>
                              <w:rPr>
                                <w:color w:val="FFFFFF"/>
                                <w:sz w:val="24"/>
                                <w:szCs w:val="24"/>
                              </w:rPr>
                              <w:t>Mise en place de cycle(s) d’apprentissage de la natation (6/12 ans) ou de développement de l’aisance aquatique (4/6ans)</w:t>
                            </w:r>
                          </w:p>
                          <w:p>
                            <w:pPr>
                              <w:pStyle w:val="ListParagraph"/>
                              <w:numPr>
                                <w:ilvl w:val="0"/>
                                <w:numId w:val="1"/>
                              </w:numPr>
                              <w:ind w:left="426" w:hanging="426"/>
                              <w:rPr>
                                <w:sz w:val="24"/>
                                <w:szCs w:val="24"/>
                              </w:rPr>
                            </w:pPr>
                            <w:r>
                              <w:rPr>
                                <w:color w:val="FFFFFF"/>
                                <w:sz w:val="24"/>
                                <w:szCs w:val="24"/>
                              </w:rPr>
                              <w:t>Coûts éligibles :</w:t>
                            </w:r>
                            <w:r>
                              <w:rPr>
                                <w:rFonts w:eastAsia="Calibri" w:cs="Arial"/>
                                <w:color w:val="FFFFFF"/>
                                <w:sz w:val="24"/>
                                <w:szCs w:val="24"/>
                                <w:lang w:eastAsia="fr-FR"/>
                              </w:rPr>
                              <w:t xml:space="preserve"> le transport, la location des lignes d’eau, l’encadrement et l’assurance</w:t>
                            </w:r>
                          </w:p>
                          <w:p>
                            <w:pPr>
                              <w:pStyle w:val="ListParagraph"/>
                              <w:numPr>
                                <w:ilvl w:val="0"/>
                                <w:numId w:val="1"/>
                              </w:numPr>
                              <w:ind w:left="426" w:hanging="426"/>
                              <w:rPr>
                                <w:sz w:val="24"/>
                                <w:szCs w:val="24"/>
                              </w:rPr>
                            </w:pPr>
                            <w:r>
                              <w:rPr>
                                <w:rFonts w:eastAsia="Calibri" w:cs="Arial"/>
                                <w:color w:val="FFFFFF"/>
                                <w:sz w:val="24"/>
                                <w:szCs w:val="24"/>
                                <w:lang w:eastAsia="fr-FR"/>
                              </w:rPr>
                              <w:t xml:space="preserve">Stages </w:t>
                            </w:r>
                            <w:r>
                              <w:rPr>
                                <w:rFonts w:eastAsia="Calibri" w:cs="Arial"/>
                                <w:b/>
                                <w:color w:val="FFFFFF"/>
                                <w:sz w:val="24"/>
                                <w:szCs w:val="24"/>
                                <w:lang w:eastAsia="fr-FR"/>
                              </w:rPr>
                              <w:t>gratuits</w:t>
                            </w:r>
                            <w:r>
                              <w:rPr>
                                <w:rFonts w:eastAsia="Calibri" w:cs="Arial"/>
                                <w:color w:val="FFFFFF"/>
                                <w:sz w:val="24"/>
                                <w:szCs w:val="24"/>
                                <w:lang w:eastAsia="fr-FR"/>
                              </w:rPr>
                              <w:t xml:space="preserve"> pour les familles</w:t>
                            </w:r>
                          </w:p>
                          <w:p>
                            <w:pPr>
                              <w:pStyle w:val="ListParagraph"/>
                              <w:numPr>
                                <w:ilvl w:val="0"/>
                                <w:numId w:val="1"/>
                              </w:numPr>
                              <w:ind w:left="426" w:hanging="426"/>
                              <w:rPr>
                                <w:sz w:val="24"/>
                                <w:szCs w:val="24"/>
                              </w:rPr>
                            </w:pPr>
                            <w:r>
                              <w:rPr>
                                <w:rFonts w:eastAsia="Calibri" w:cs="Arial"/>
                                <w:color w:val="FFFFFF"/>
                                <w:sz w:val="24"/>
                                <w:szCs w:val="24"/>
                                <w:lang w:eastAsia="fr-FR"/>
                              </w:rPr>
                              <w:t>Actions se déroulant de juillet 2020 à juin 2021</w:t>
                            </w:r>
                          </w:p>
                          <w:p>
                            <w:pPr>
                              <w:pStyle w:val="ListParagraph"/>
                              <w:numPr>
                                <w:ilvl w:val="0"/>
                                <w:numId w:val="1"/>
                              </w:numPr>
                              <w:ind w:left="426" w:hanging="426"/>
                              <w:rPr>
                                <w:sz w:val="24"/>
                                <w:szCs w:val="24"/>
                              </w:rPr>
                            </w:pPr>
                            <w:r>
                              <w:rPr>
                                <w:rFonts w:eastAsia="Calibri" w:cs="Arial"/>
                                <w:color w:val="FFFFFF"/>
                                <w:sz w:val="24"/>
                                <w:szCs w:val="24"/>
                                <w:lang w:eastAsia="fr-FR"/>
                              </w:rPr>
                              <w:t xml:space="preserve">Voir </w:t>
                            </w:r>
                            <w:r>
                              <w:rPr>
                                <w:rFonts w:eastAsia="Calibri" w:cs="Arial"/>
                                <w:b/>
                                <w:color w:val="FFFFFF"/>
                                <w:sz w:val="24"/>
                                <w:szCs w:val="24"/>
                                <w:lang w:eastAsia="fr-FR"/>
                              </w:rPr>
                              <w:t>annexe IV</w:t>
                            </w:r>
                            <w:r>
                              <w:rPr>
                                <w:rFonts w:eastAsia="Calibri" w:cs="Arial"/>
                                <w:color w:val="FFFFFF"/>
                                <w:sz w:val="24"/>
                                <w:szCs w:val="24"/>
                                <w:lang w:eastAsia="fr-FR"/>
                              </w:rPr>
                              <w:t xml:space="preserve"> sur les modalités d’organisation des cycles (fréquence, durée, organisation générale,…)</w:t>
                            </w:r>
                          </w:p>
                          <w:p>
                            <w:pPr>
                              <w:pStyle w:val="Contenudecadre"/>
                              <w:spacing w:before="0" w:after="12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3665" simplePos="0" locked="0" layoutInCell="1" allowOverlap="1" relativeHeight="3">
                <wp:simplePos x="0" y="0"/>
                <wp:positionH relativeFrom="column">
                  <wp:posOffset>4129405</wp:posOffset>
                </wp:positionH>
                <wp:positionV relativeFrom="paragraph">
                  <wp:posOffset>66040</wp:posOffset>
                </wp:positionV>
                <wp:extent cx="4857115" cy="2267585"/>
                <wp:effectExtent l="0" t="0" r="20320" b="19685"/>
                <wp:wrapNone/>
                <wp:docPr id="4" name="Rectangle à coins arrondis 8"/>
                <a:graphic xmlns:a="http://schemas.openxmlformats.org/drawingml/2006/main">
                  <a:graphicData uri="http://schemas.microsoft.com/office/word/2010/wordprocessingShape">
                    <wps:wsp>
                      <wps:cNvSpPr/>
                      <wps:spPr>
                        <a:xfrm>
                          <a:off x="0" y="0"/>
                          <a:ext cx="4856400" cy="226692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b/>
                                <w:b/>
                                <w:sz w:val="24"/>
                                <w:szCs w:val="24"/>
                              </w:rPr>
                            </w:pPr>
                            <w:r>
                              <w:rPr>
                                <w:b/>
                                <w:color w:val="FFFFFF"/>
                                <w:sz w:val="24"/>
                                <w:szCs w:val="24"/>
                              </w:rPr>
                              <w:t>COMMENT DEPOSER UNE DEMANDE ?</w:t>
                            </w:r>
                          </w:p>
                          <w:p>
                            <w:pPr>
                              <w:pStyle w:val="ListParagraph"/>
                              <w:numPr>
                                <w:ilvl w:val="0"/>
                                <w:numId w:val="2"/>
                              </w:numPr>
                              <w:ind w:left="709" w:hanging="709"/>
                              <w:jc w:val="left"/>
                              <w:rPr>
                                <w:b/>
                                <w:b/>
                                <w:sz w:val="24"/>
                                <w:szCs w:val="24"/>
                              </w:rPr>
                            </w:pPr>
                            <w:r>
                              <w:rPr>
                                <w:b/>
                                <w:color w:val="FFFFFF"/>
                                <w:sz w:val="24"/>
                                <w:szCs w:val="24"/>
                                <w:u w:val="single"/>
                              </w:rPr>
                              <w:t>Pour les associations :</w:t>
                            </w:r>
                          </w:p>
                          <w:p>
                            <w:pPr>
                              <w:pStyle w:val="ListParagraph"/>
                              <w:ind w:left="709" w:hanging="0"/>
                              <w:jc w:val="left"/>
                              <w:rPr/>
                            </w:pPr>
                            <w:r>
                              <w:rPr>
                                <w:color w:val="FFFFFF"/>
                                <w:sz w:val="24"/>
                                <w:szCs w:val="24"/>
                              </w:rPr>
                              <w:t xml:space="preserve">Les demandes sont à saisir en ligne sur « lecompteasso » : </w:t>
                            </w:r>
                            <w:hyperlink r:id="rId3">
                              <w:r>
                                <w:rPr>
                                  <w:rStyle w:val="LienInternet"/>
                                  <w:color w:val="FFFFFF"/>
                                  <w:sz w:val="24"/>
                                  <w:szCs w:val="24"/>
                                  <w:u w:val="none"/>
                                </w:rPr>
                                <w:t>https://lecompteasso.associations.gouv.fr/login</w:t>
                              </w:r>
                            </w:hyperlink>
                          </w:p>
                          <w:p>
                            <w:pPr>
                              <w:pStyle w:val="ListParagraph"/>
                              <w:spacing w:lineRule="auto" w:line="360"/>
                              <w:ind w:left="709" w:hanging="0"/>
                              <w:rPr>
                                <w:rFonts w:ascii="Calibri" w:hAnsi="Calibri" w:eastAsia="Calibri" w:cs="Times New Roman"/>
                                <w:sz w:val="24"/>
                                <w:szCs w:val="24"/>
                              </w:rPr>
                            </w:pPr>
                            <w:r>
                              <w:rPr>
                                <w:rFonts w:eastAsia="Calibri" w:cs="Times New Roman"/>
                                <w:color w:val="FFFFFF"/>
                                <w:sz w:val="24"/>
                                <w:szCs w:val="24"/>
                              </w:rPr>
                              <w:t>Code à saisir lors de la recherche de subvention auprès des services de l’Etat :</w:t>
                            </w:r>
                            <w:r>
                              <w:rPr>
                                <w:color w:val="FFFFFF"/>
                                <w:sz w:val="24"/>
                                <w:szCs w:val="24"/>
                              </w:rPr>
                              <w:t xml:space="preserve"> </w:t>
                            </w:r>
                            <w:r>
                              <w:rPr>
                                <w:b/>
                                <w:color w:val="FFFFFF"/>
                                <w:sz w:val="24"/>
                                <w:szCs w:val="24"/>
                              </w:rPr>
                              <w:t>184</w:t>
                            </w:r>
                          </w:p>
                          <w:p>
                            <w:pPr>
                              <w:pStyle w:val="ListParagraph"/>
                              <w:numPr>
                                <w:ilvl w:val="0"/>
                                <w:numId w:val="2"/>
                              </w:numPr>
                              <w:spacing w:lineRule="auto" w:line="360" w:before="0" w:after="120"/>
                              <w:ind w:left="709" w:hanging="709"/>
                              <w:contextualSpacing/>
                              <w:jc w:val="left"/>
                              <w:rPr>
                                <w:color w:val="FFFFFF"/>
                              </w:rPr>
                            </w:pPr>
                            <w:r>
                              <w:rPr>
                                <w:b/>
                                <w:color w:val="FFFFFF"/>
                                <w:u w:val="single"/>
                              </w:rPr>
                              <w:t>Pour les collectivités</w:t>
                            </w:r>
                            <w:r>
                              <w:rPr>
                                <w:color w:val="FFFFFF"/>
                              </w:rPr>
                              <w:t xml:space="preserve">, renvoyer le formulaire CERFA (12156*05) en version </w:t>
                            </w:r>
                            <w:r>
                              <w:rPr>
                                <w:color w:val="FFFFFF"/>
                                <w:sz w:val="24"/>
                                <w:szCs w:val="24"/>
                              </w:rPr>
                              <w:t>papier en 2 exemplaires à la DRDJSCS de Normandie.</w:t>
                            </w:r>
                          </w:p>
                        </w:txbxContent>
                      </wps:txbx>
                      <wps:bodyPr anchor="ctr">
                        <a:prstTxWarp prst="textNoShape"/>
                        <a:noAutofit/>
                      </wps:bodyPr>
                    </wps:wsp>
                  </a:graphicData>
                </a:graphic>
              </wp:anchor>
            </w:drawing>
          </mc:Choice>
          <mc:Fallback>
            <w:pict/>
          </mc:Fallback>
        </mc:AlternateContent>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mc:AlternateContent>
          <mc:Choice Requires="wps">
            <w:drawing>
              <wp:anchor behindDoc="0" distT="0" distB="0" distL="114300" distR="114300" simplePos="0" locked="0" layoutInCell="1" allowOverlap="1" relativeHeight="4">
                <wp:simplePos x="0" y="0"/>
                <wp:positionH relativeFrom="column">
                  <wp:posOffset>7908290</wp:posOffset>
                </wp:positionH>
                <wp:positionV relativeFrom="paragraph">
                  <wp:posOffset>93980</wp:posOffset>
                </wp:positionV>
                <wp:extent cx="1526540" cy="1156335"/>
                <wp:effectExtent l="0" t="0" r="17145" b="25400"/>
                <wp:wrapNone/>
                <wp:docPr id="6" name="Rectangle à coins arrondis 9"/>
                <a:graphic xmlns:a="http://schemas.openxmlformats.org/drawingml/2006/main">
                  <a:graphicData uri="http://schemas.microsoft.com/office/word/2010/wordprocessingShape">
                    <wps:wsp>
                      <wps:cNvSpPr/>
                      <wps:spPr>
                        <a:xfrm>
                          <a:off x="0" y="0"/>
                          <a:ext cx="1526040" cy="115560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Contenudecadre"/>
                              <w:ind w:hanging="0"/>
                              <w:jc w:val="center"/>
                              <w:rPr>
                                <w:b/>
                                <w:b/>
                              </w:rPr>
                            </w:pPr>
                            <w:r>
                              <w:rPr>
                                <w:b/>
                                <w:color w:val="FFFFFF"/>
                              </w:rPr>
                              <w:t>CALENDRIER</w:t>
                            </w:r>
                          </w:p>
                          <w:p>
                            <w:pPr>
                              <w:pStyle w:val="Contenudecadre"/>
                              <w:ind w:hanging="0"/>
                              <w:rPr>
                                <w:color w:val="FFFFFF"/>
                              </w:rPr>
                            </w:pPr>
                            <w:r>
                              <w:rPr>
                                <w:color w:val="FFFFFF"/>
                              </w:rPr>
                              <w:t xml:space="preserve">Dépôt des dossiers avant </w:t>
                            </w:r>
                          </w:p>
                          <w:p>
                            <w:pPr>
                              <w:pStyle w:val="Contenudecadre"/>
                              <w:ind w:hanging="0"/>
                              <w:jc w:val="center"/>
                              <w:rPr>
                                <w:color w:val="FFFFFF"/>
                              </w:rPr>
                            </w:pPr>
                            <w:r>
                              <w:rPr>
                                <w:b/>
                                <w:color w:val="FFFFFF"/>
                              </w:rPr>
                              <w:t>le 31 Aout 2020</w:t>
                            </w:r>
                          </w:p>
                          <w:p>
                            <w:pPr>
                              <w:pStyle w:val="Contenudecadre"/>
                              <w:spacing w:before="0" w:after="12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3665" simplePos="0" locked="0" layoutInCell="1" allowOverlap="1" relativeHeight="5">
                <wp:simplePos x="0" y="0"/>
                <wp:positionH relativeFrom="column">
                  <wp:posOffset>3438525</wp:posOffset>
                </wp:positionH>
                <wp:positionV relativeFrom="paragraph">
                  <wp:posOffset>93980</wp:posOffset>
                </wp:positionV>
                <wp:extent cx="4399915" cy="1673860"/>
                <wp:effectExtent l="0" t="0" r="20320" b="22225"/>
                <wp:wrapNone/>
                <wp:docPr id="8" name="Rectangle à coins arrondis 10"/>
                <a:graphic xmlns:a="http://schemas.openxmlformats.org/drawingml/2006/main">
                  <a:graphicData uri="http://schemas.microsoft.com/office/word/2010/wordprocessingShape">
                    <wps:wsp>
                      <wps:cNvSpPr/>
                      <wps:spPr>
                        <a:xfrm>
                          <a:off x="0" y="0"/>
                          <a:ext cx="4399200" cy="167328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Contenudecadre"/>
                              <w:spacing w:lineRule="auto" w:line="276" w:before="0" w:after="0"/>
                              <w:ind w:hanging="0"/>
                              <w:contextualSpacing/>
                              <w:jc w:val="center"/>
                              <w:rPr>
                                <w:b/>
                                <w:b/>
                                <w:sz w:val="24"/>
                                <w:szCs w:val="24"/>
                              </w:rPr>
                            </w:pPr>
                            <w:r>
                              <w:rPr>
                                <w:b/>
                                <w:color w:val="FFFFFF"/>
                              </w:rPr>
                              <w:t>FICHE ACTION </w:t>
                            </w:r>
                          </w:p>
                          <w:p>
                            <w:pPr>
                              <w:pStyle w:val="ListParagraph"/>
                              <w:numPr>
                                <w:ilvl w:val="0"/>
                                <w:numId w:val="7"/>
                              </w:numPr>
                              <w:spacing w:lineRule="auto" w:line="276" w:before="0" w:after="0"/>
                              <w:contextualSpacing/>
                              <w:jc w:val="left"/>
                              <w:rPr>
                                <w:sz w:val="24"/>
                                <w:szCs w:val="24"/>
                              </w:rPr>
                            </w:pPr>
                            <w:r>
                              <w:rPr>
                                <w:color w:val="FFFFFF"/>
                                <w:sz w:val="24"/>
                                <w:szCs w:val="24"/>
                              </w:rPr>
                              <w:t>Indiquer dans le titre de l’action « </w:t>
                            </w:r>
                            <w:r>
                              <w:rPr>
                                <w:b/>
                                <w:color w:val="FFFFFF"/>
                                <w:sz w:val="24"/>
                                <w:szCs w:val="24"/>
                              </w:rPr>
                              <w:t>Aisance Aquatique</w:t>
                            </w:r>
                            <w:r>
                              <w:rPr>
                                <w:color w:val="FFFFFF"/>
                                <w:sz w:val="24"/>
                                <w:szCs w:val="24"/>
                              </w:rPr>
                              <w:t xml:space="preserve"> » </w:t>
                            </w:r>
                            <w:r>
                              <w:rPr>
                                <w:b/>
                                <w:color w:val="FFFFFF"/>
                                <w:sz w:val="24"/>
                                <w:szCs w:val="24"/>
                                <w:u w:val="single"/>
                              </w:rPr>
                              <w:t>OU</w:t>
                            </w:r>
                            <w:r>
                              <w:rPr>
                                <w:b/>
                                <w:color w:val="FFFFFF"/>
                                <w:sz w:val="24"/>
                                <w:szCs w:val="24"/>
                              </w:rPr>
                              <w:t xml:space="preserve"> « J’apprends à nager</w:t>
                            </w:r>
                            <w:r>
                              <w:rPr>
                                <w:color w:val="FFFFFF"/>
                                <w:sz w:val="24"/>
                                <w:szCs w:val="24"/>
                              </w:rPr>
                              <w:t> »</w:t>
                            </w:r>
                          </w:p>
                          <w:p>
                            <w:pPr>
                              <w:pStyle w:val="ListParagraph"/>
                              <w:numPr>
                                <w:ilvl w:val="0"/>
                                <w:numId w:val="7"/>
                              </w:numPr>
                              <w:spacing w:lineRule="auto" w:line="276" w:before="0" w:after="0"/>
                              <w:contextualSpacing/>
                              <w:jc w:val="left"/>
                              <w:rPr>
                                <w:sz w:val="24"/>
                                <w:szCs w:val="24"/>
                              </w:rPr>
                            </w:pPr>
                            <w:r>
                              <w:rPr>
                                <w:color w:val="FFFFFF"/>
                                <w:sz w:val="24"/>
                                <w:szCs w:val="24"/>
                              </w:rPr>
                              <w:t>Faire des fiches actions distinctes AA ou JAN</w:t>
                            </w:r>
                          </w:p>
                          <w:p>
                            <w:pPr>
                              <w:pStyle w:val="ListParagraph"/>
                              <w:numPr>
                                <w:ilvl w:val="0"/>
                                <w:numId w:val="7"/>
                              </w:numPr>
                              <w:rPr>
                                <w:sz w:val="24"/>
                                <w:szCs w:val="24"/>
                              </w:rPr>
                            </w:pPr>
                            <w:r>
                              <w:rPr>
                                <w:color w:val="FFFFFF"/>
                                <w:sz w:val="24"/>
                                <w:szCs w:val="24"/>
                              </w:rPr>
                              <w:t>Indiquer le nombre de cycles, le nombre d’enfants par cycle, les lieux, les dates …</w:t>
                            </w:r>
                          </w:p>
                          <w:p>
                            <w:pPr>
                              <w:pStyle w:val="Contenudecadre"/>
                              <w:rPr>
                                <w:color w:val="FFFFFF"/>
                              </w:rPr>
                            </w:pPr>
                            <w:r>
                              <w:rPr>
                                <w:color w:val="FFFFFF"/>
                              </w:rPr>
                            </w:r>
                          </w:p>
                          <w:p>
                            <w:pPr>
                              <w:pStyle w:val="Contenudecadre"/>
                              <w:spacing w:before="0" w:after="12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7">
                <wp:simplePos x="0" y="0"/>
                <wp:positionH relativeFrom="column">
                  <wp:posOffset>-659130</wp:posOffset>
                </wp:positionH>
                <wp:positionV relativeFrom="paragraph">
                  <wp:posOffset>93980</wp:posOffset>
                </wp:positionV>
                <wp:extent cx="3987165" cy="2847340"/>
                <wp:effectExtent l="0" t="0" r="13970" b="10795"/>
                <wp:wrapNone/>
                <wp:docPr id="10" name="Rectangle à coins arrondis 12"/>
                <a:graphic xmlns:a="http://schemas.openxmlformats.org/drawingml/2006/main">
                  <a:graphicData uri="http://schemas.microsoft.com/office/word/2010/wordprocessingShape">
                    <wps:wsp>
                      <wps:cNvSpPr/>
                      <wps:spPr>
                        <a:xfrm>
                          <a:off x="0" y="0"/>
                          <a:ext cx="3986640" cy="284688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b/>
                                <w:b/>
                              </w:rPr>
                            </w:pPr>
                            <w:r>
                              <w:rPr>
                                <w:b/>
                                <w:color w:val="FFFFFF"/>
                              </w:rPr>
                              <w:t>COMMENT REMPLIR MON BUDGET ?</w:t>
                            </w:r>
                          </w:p>
                          <w:p>
                            <w:pPr>
                              <w:pStyle w:val="ListParagraph"/>
                              <w:numPr>
                                <w:ilvl w:val="0"/>
                                <w:numId w:val="6"/>
                              </w:numPr>
                              <w:spacing w:lineRule="auto" w:line="276" w:before="0" w:after="0"/>
                              <w:ind w:left="284" w:hanging="360"/>
                              <w:contextualSpacing/>
                              <w:jc w:val="left"/>
                              <w:rPr>
                                <w:sz w:val="24"/>
                                <w:szCs w:val="24"/>
                              </w:rPr>
                            </w:pPr>
                            <w:r>
                              <w:rPr>
                                <w:color w:val="FFFFFF"/>
                                <w:sz w:val="24"/>
                                <w:szCs w:val="24"/>
                              </w:rPr>
                              <w:t>Le seuil minimum de financement est de 1500€ (1000€ pour les structures dont le siège social est situé en ZRR, dans une commune inscrite dans un contrat de ruralité ou dans un bassin de vie comprenant au moins 50% de la population en ZRR).</w:t>
                            </w:r>
                          </w:p>
                          <w:p>
                            <w:pPr>
                              <w:pStyle w:val="ListParagraph"/>
                              <w:numPr>
                                <w:ilvl w:val="0"/>
                                <w:numId w:val="6"/>
                              </w:numPr>
                              <w:spacing w:lineRule="auto" w:line="276" w:before="0" w:after="0"/>
                              <w:ind w:left="284" w:hanging="360"/>
                              <w:contextualSpacing/>
                              <w:jc w:val="left"/>
                              <w:rPr>
                                <w:sz w:val="24"/>
                                <w:szCs w:val="24"/>
                              </w:rPr>
                            </w:pPr>
                            <w:r>
                              <w:rPr>
                                <w:color w:val="FFFFFF"/>
                                <w:sz w:val="24"/>
                                <w:szCs w:val="24"/>
                              </w:rPr>
                              <w:t>Budget équilibré en incluant la demande ANS</w:t>
                            </w:r>
                          </w:p>
                          <w:p>
                            <w:pPr>
                              <w:pStyle w:val="ListParagraph"/>
                              <w:numPr>
                                <w:ilvl w:val="0"/>
                                <w:numId w:val="6"/>
                              </w:numPr>
                              <w:spacing w:lineRule="auto" w:line="276" w:before="0" w:after="0"/>
                              <w:ind w:left="284" w:hanging="360"/>
                              <w:contextualSpacing/>
                              <w:jc w:val="left"/>
                              <w:rPr>
                                <w:sz w:val="24"/>
                                <w:szCs w:val="24"/>
                              </w:rPr>
                            </w:pPr>
                            <w:r>
                              <w:rPr>
                                <w:color w:val="FFFFFF"/>
                                <w:sz w:val="24"/>
                                <w:szCs w:val="24"/>
                              </w:rPr>
                              <w:t>Le montant demandé à l’ANS dans le budget de l’action doit être cohérent avec celui figurant dans le budget de la structure et celui figurant sur l’attestation sur l’honneur.</w:t>
                            </w:r>
                          </w:p>
                          <w:p>
                            <w:pPr>
                              <w:pStyle w:val="Contenudecadre"/>
                              <w:spacing w:before="0" w:after="120"/>
                              <w:jc w:val="center"/>
                              <w:rPr>
                                <w:color w:val="FFFFFF"/>
                              </w:rPr>
                            </w:pPr>
                            <w:r>
                              <w:rPr>
                                <w:color w:val="FFFFFF"/>
                              </w:rPr>
                            </w:r>
                          </w:p>
                        </w:txbxContent>
                      </wps:txbx>
                      <wps:bodyPr anchor="ctr">
                        <a:prstTxWarp prst="textNoShape"/>
                        <a:noAutofit/>
                      </wps:bodyPr>
                    </wps:wsp>
                  </a:graphicData>
                </a:graphic>
              </wp:anchor>
            </w:drawing>
          </mc:Choice>
          <mc:Fallback>
            <w:pict/>
          </mc:Fallback>
        </mc:AlternateContent>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mc:AlternateContent>
          <mc:Choice Requires="wps">
            <w:drawing>
              <wp:anchor behindDoc="0" distT="0" distB="0" distL="114300" distR="114300" simplePos="0" locked="0" layoutInCell="1" allowOverlap="1" relativeHeight="6">
                <wp:simplePos x="0" y="0"/>
                <wp:positionH relativeFrom="column">
                  <wp:posOffset>3560445</wp:posOffset>
                </wp:positionH>
                <wp:positionV relativeFrom="paragraph">
                  <wp:posOffset>118745</wp:posOffset>
                </wp:positionV>
                <wp:extent cx="5555615" cy="1432560"/>
                <wp:effectExtent l="0" t="0" r="26670" b="15875"/>
                <wp:wrapNone/>
                <wp:docPr id="12" name="Rectangle à coins arrondis 11"/>
                <a:graphic xmlns:a="http://schemas.openxmlformats.org/drawingml/2006/main">
                  <a:graphicData uri="http://schemas.microsoft.com/office/word/2010/wordprocessingShape">
                    <wps:wsp>
                      <wps:cNvSpPr/>
                      <wps:spPr>
                        <a:xfrm>
                          <a:off x="0" y="0"/>
                          <a:ext cx="5555160" cy="1432080"/>
                        </a:xfrm>
                        <a:prstGeom prst="roundRect">
                          <a:avLst>
                            <a:gd name="adj" fmla="val 1666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b/>
                                <w:b/>
                              </w:rPr>
                            </w:pPr>
                            <w:r>
                              <w:rPr>
                                <w:b/>
                                <w:color w:val="FFFFFF"/>
                              </w:rPr>
                              <w:t>INTERVENANTS</w:t>
                            </w:r>
                          </w:p>
                          <w:p>
                            <w:pPr>
                              <w:pStyle w:val="ListParagraph"/>
                              <w:numPr>
                                <w:ilvl w:val="0"/>
                                <w:numId w:val="8"/>
                              </w:numPr>
                              <w:ind w:left="284" w:hanging="360"/>
                              <w:rPr>
                                <w:sz w:val="24"/>
                                <w:szCs w:val="24"/>
                              </w:rPr>
                            </w:pPr>
                            <w:r>
                              <w:rPr>
                                <w:b/>
                                <w:color w:val="FFFFFF"/>
                                <w:sz w:val="24"/>
                                <w:szCs w:val="24"/>
                                <w:u w:val="single"/>
                              </w:rPr>
                              <w:t xml:space="preserve">Impérativement </w:t>
                            </w:r>
                            <w:r>
                              <w:rPr>
                                <w:color w:val="FFFFFF"/>
                                <w:sz w:val="24"/>
                                <w:szCs w:val="24"/>
                              </w:rPr>
                              <w:t>mentionner le nom, les prénoms, la date de naissance, le lieu de naissance (voire arrondissement) et les diplômes de chaque intervenant.</w:t>
                            </w:r>
                          </w:p>
                          <w:p>
                            <w:pPr>
                              <w:pStyle w:val="ListParagraph"/>
                              <w:numPr>
                                <w:ilvl w:val="0"/>
                                <w:numId w:val="8"/>
                              </w:numPr>
                              <w:spacing w:before="0" w:after="120"/>
                              <w:ind w:left="284" w:hanging="360"/>
                              <w:contextualSpacing/>
                              <w:jc w:val="left"/>
                              <w:rPr>
                                <w:color w:val="FFFFFF"/>
                              </w:rPr>
                            </w:pPr>
                            <w:r>
                              <w:rPr>
                                <w:color w:val="FFFFFF"/>
                                <w:sz w:val="24"/>
                                <w:szCs w:val="24"/>
                              </w:rPr>
                              <w:t>Respecter les normes d’encadrement et les diplômes en vigueur.</w:t>
                            </w:r>
                          </w:p>
                        </w:txbxContent>
                      </wps:txbx>
                      <wps:bodyPr anchor="ctr">
                        <a:prstTxWarp prst="textNoShape"/>
                        <a:noAutofit/>
                      </wps:bodyPr>
                    </wps:wsp>
                  </a:graphicData>
                </a:graphic>
              </wp:anchor>
            </w:drawing>
          </mc:Choice>
          <mc:Fallback>
            <w:pict/>
          </mc:Fallback>
        </mc:AlternateContent>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spacing w:lineRule="auto" w:line="276" w:before="0" w:after="0"/>
        <w:jc w:val="left"/>
        <w:rPr/>
      </w:pPr>
      <w:r>
        <w:rPr/>
      </w:r>
    </w:p>
    <w:p>
      <w:pPr>
        <w:pStyle w:val="Normal"/>
        <w:ind w:hanging="0"/>
        <w:rPr/>
      </w:pPr>
      <w:r>
        <w:rPr/>
      </w:r>
    </w:p>
    <w:tbl>
      <w:tblPr>
        <w:tblStyle w:val="Listeclaire-Accent61"/>
        <w:tblW w:w="15099" w:type="dxa"/>
        <w:jc w:val="left"/>
        <w:tblInd w:w="0" w:type="dxa"/>
        <w:tblCellMar>
          <w:top w:w="0" w:type="dxa"/>
          <w:left w:w="108" w:type="dxa"/>
          <w:bottom w:w="0" w:type="dxa"/>
          <w:right w:w="108" w:type="dxa"/>
        </w:tblCellMar>
        <w:tblLook w:firstRow="1" w:noVBand="1" w:lastRow="0" w:firstColumn="1" w:lastColumn="0" w:noHBand="0" w:val="04a0"/>
      </w:tblPr>
      <w:tblGrid>
        <w:gridCol w:w="4535"/>
        <w:gridCol w:w="5996"/>
        <w:gridCol w:w="4568"/>
      </w:tblGrid>
      <w:tr>
        <w:trPr>
          <w:trHeight w:val="376" w:hRule="atLeast"/>
          <w:cnfStyle w:val="100000000000" w:firstRow="1" w:lastRow="0" w:firstColumn="0" w:lastColumn="0" w:oddVBand="0" w:evenVBand="0" w:oddHBand="0" w:evenHBand="0" w:firstRowFirstColumn="0" w:firstRowLastColumn="0" w:lastRowFirstColumn="0" w:lastRowLastColumn="0"/>
        </w:trPr>
        <w:tc>
          <w:tcPr>
            <w:tcW w:w="4535" w:type="dxa"/>
            <w:cnfStyle w:val="001000000000" w:firstRow="0" w:lastRow="0" w:firstColumn="1" w:lastColumn="0" w:oddVBand="0" w:evenVBand="0" w:oddHBand="0" w:evenHBand="0" w:firstRowFirstColumn="0" w:firstRowLastColumn="0" w:lastRowFirstColumn="0" w:lastRowLastColumn="0"/>
            <w:tcBorders>
              <w:top w:val="single" w:sz="8" w:space="0" w:color="4F81BD"/>
              <w:left w:val="single" w:sz="8" w:space="0" w:color="4F81BD"/>
              <w:bottom w:val="nil"/>
              <w:right w:val="nil"/>
              <w:insideH w:val="nil"/>
              <w:insideV w:val="nil"/>
            </w:tcBorders>
            <w:shd w:color="auto" w:fill="8DB3E2" w:themeFill="text2" w:themeFillTint="66" w:val="clear"/>
          </w:tcPr>
          <w:p>
            <w:pPr>
              <w:pStyle w:val="Normal"/>
              <w:spacing w:lineRule="auto" w:line="240" w:before="0" w:after="0"/>
              <w:ind w:hanging="0"/>
              <w:rPr>
                <w:rFonts w:ascii="Calibri" w:hAnsi="Calibri" w:eastAsia="Calibri" w:cs="Times New Roman"/>
              </w:rPr>
            </w:pPr>
            <w:r>
              <w:rPr>
                <w:rFonts w:eastAsia="Calibri" w:cs="Times New Roman"/>
                <w:b/>
                <w:bCs/>
                <w:color w:val="FFFFFF"/>
              </w:rPr>
              <w:t>Eligibilité et priorités régionales</w:t>
            </w:r>
          </w:p>
        </w:tc>
        <w:tc>
          <w:tcPr>
            <w:tcW w:w="5996" w:type="dxa"/>
            <w:tcBorders>
              <w:top w:val="single" w:sz="8" w:space="0" w:color="4F81BD"/>
              <w:left w:val="nil"/>
              <w:bottom w:val="nil"/>
              <w:right w:val="nil"/>
              <w:insideH w:val="nil"/>
              <w:insideV w:val="nil"/>
            </w:tcBorders>
            <w:shd w:color="auto" w:fill="8DB3E2" w:themeFill="text2" w:themeFillTint="66" w:val="clear"/>
          </w:tcPr>
          <w:p>
            <w:pPr>
              <w:pStyle w:val="Norma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Pr>
                <w:rFonts w:eastAsia="Calibri" w:cs="Times New Roman"/>
                <w:b/>
                <w:bCs/>
                <w:color w:val="FFFFFF"/>
              </w:rPr>
              <w:t>Conditions d’obtention de l’aide</w:t>
            </w:r>
          </w:p>
        </w:tc>
        <w:tc>
          <w:tcPr>
            <w:tcW w:w="4568" w:type="dxa"/>
            <w:tcBorders>
              <w:top w:val="single" w:sz="8" w:space="0" w:color="4F81BD"/>
              <w:left w:val="nil"/>
              <w:bottom w:val="nil"/>
              <w:right w:val="single" w:sz="8" w:space="0" w:color="4F81BD"/>
              <w:insideH w:val="nil"/>
              <w:insideV w:val="single" w:sz="8" w:space="0" w:color="4F81BD"/>
            </w:tcBorders>
            <w:shd w:color="auto" w:fill="8DB3E2" w:themeFill="text2" w:themeFillTint="66"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Pr>
                <w:rFonts w:eastAsia="Calibri" w:cs="Times New Roman"/>
                <w:b/>
                <w:bCs/>
                <w:color w:val="FFFFFF"/>
              </w:rPr>
              <w:t>Pièces à joindre</w:t>
            </w:r>
          </w:p>
        </w:tc>
      </w:tr>
      <w:tr>
        <w:trPr>
          <w:trHeight w:val="8344" w:hRule="atLeast"/>
          <w:cnfStyle w:val="000000100000" w:firstRow="0" w:lastRow="0" w:firstColumn="0" w:lastColumn="0" w:oddVBand="0" w:evenVBand="0" w:oddHBand="1" w:evenHBand="0" w:firstRowFirstColumn="0" w:firstRowLastColumn="0" w:lastRowFirstColumn="0" w:lastRowLastColumn="0"/>
        </w:trPr>
        <w:tc>
          <w:tcPr>
            <w:tcW w:w="4535" w:type="dxa"/>
            <w:cnfStyle w:val="001000000000" w:firstRow="0" w:lastRow="0" w:firstColumn="1" w:lastColumn="0" w:oddVBand="0" w:evenVBand="0" w:oddHBand="0" w:evenHBand="0" w:firstRowFirstColumn="0" w:firstRowLastColumn="0" w:lastRowFirstColumn="0" w:lastRowLastColumn="0"/>
            <w:tcBorders>
              <w:top w:val="nil"/>
              <w:left w:val="single" w:sz="8" w:space="0" w:color="4F81BD"/>
              <w:bottom w:val="single" w:sz="8" w:space="0" w:color="4F81BD"/>
              <w:insideH w:val="single" w:sz="8" w:space="0" w:color="4F81BD"/>
            </w:tcBorders>
            <w:shd w:color="auto" w:fill="FFFFFF" w:themeFill="background1" w:val="clear"/>
          </w:tcPr>
          <w:p>
            <w:pPr>
              <w:pStyle w:val="Normal"/>
              <w:spacing w:before="0" w:after="0"/>
              <w:ind w:hanging="0"/>
              <w:rPr>
                <w:rFonts w:ascii="Calibri" w:hAnsi="Calibri" w:eastAsia="Calibri" w:cs="Arial"/>
                <w:b/>
                <w:b/>
                <w:bCs/>
                <w:lang w:eastAsia="fr-FR"/>
              </w:rPr>
            </w:pPr>
            <w:r>
              <w:rPr>
                <w:rFonts w:eastAsia="Calibri" w:cs="Arial"/>
                <w:b/>
                <w:bCs/>
                <w:lang w:eastAsia="fr-FR"/>
              </w:rPr>
            </w:r>
          </w:p>
          <w:p>
            <w:pPr>
              <w:pStyle w:val="Normal"/>
              <w:spacing w:lineRule="exact" w:line="300" w:before="0" w:after="0"/>
              <w:ind w:hanging="0"/>
              <w:rPr>
                <w:rFonts w:ascii="Calibri" w:hAnsi="Calibri" w:eastAsia="Calibri" w:cs="Arial"/>
                <w:lang w:eastAsia="fr-FR"/>
              </w:rPr>
            </w:pPr>
            <w:r>
              <w:rPr>
                <w:rFonts w:eastAsia="Calibri" w:cs="Arial"/>
                <w:b/>
                <w:bCs/>
                <w:lang w:eastAsia="fr-FR"/>
              </w:rPr>
              <w:t xml:space="preserve">Objectif : permettre aux enfants de savoir nager ou d’acquérir l’aisance aquatique. </w:t>
            </w:r>
          </w:p>
          <w:p>
            <w:pPr>
              <w:pStyle w:val="Normal"/>
              <w:spacing w:before="0" w:after="0"/>
              <w:ind w:hanging="0"/>
              <w:rPr>
                <w:rFonts w:ascii="Calibri" w:hAnsi="Calibri" w:eastAsia="Calibri" w:cs="Arial"/>
                <w:b/>
                <w:b/>
                <w:bCs/>
                <w:lang w:eastAsia="fr-FR"/>
              </w:rPr>
            </w:pPr>
            <w:r>
              <w:rPr>
                <w:rFonts w:eastAsia="Calibri" w:cs="Arial"/>
                <w:b/>
                <w:bCs/>
                <w:lang w:eastAsia="fr-FR"/>
              </w:rPr>
            </w:r>
          </w:p>
          <w:p>
            <w:pPr>
              <w:pStyle w:val="Normal"/>
              <w:spacing w:lineRule="exact" w:line="300" w:before="0" w:after="0"/>
              <w:ind w:hanging="0"/>
              <w:rPr>
                <w:rFonts w:ascii="Calibri" w:hAnsi="Calibri" w:eastAsia="Calibri" w:cs="Arial"/>
                <w:lang w:eastAsia="fr-FR"/>
              </w:rPr>
            </w:pPr>
            <w:r>
              <w:rPr>
                <w:rFonts w:eastAsia="Calibri" w:cs="Arial"/>
                <w:b/>
                <w:bCs/>
                <w:lang w:eastAsia="fr-FR"/>
              </w:rPr>
              <w:t xml:space="preserve">Peuvent déposer une demande de subvention les </w:t>
            </w:r>
            <w:r>
              <w:rPr>
                <w:rFonts w:eastAsia="Calibri" w:cs="Arial"/>
                <w:b/>
                <w:bCs/>
                <w:u w:val="single"/>
                <w:lang w:eastAsia="fr-FR"/>
              </w:rPr>
              <w:t>associations et les collectivités territoriales.</w:t>
            </w:r>
          </w:p>
          <w:p>
            <w:pPr>
              <w:pStyle w:val="Normal"/>
              <w:spacing w:before="0" w:after="0"/>
              <w:ind w:hanging="0"/>
              <w:rPr>
                <w:rFonts w:ascii="Calibri" w:hAnsi="Calibri" w:eastAsia="Calibri" w:cs="Arial"/>
                <w:b/>
                <w:b/>
                <w:bCs/>
                <w:lang w:eastAsia="fr-FR"/>
              </w:rPr>
            </w:pPr>
            <w:r>
              <w:rPr>
                <w:rFonts w:eastAsia="Calibri" w:cs="Arial"/>
                <w:b/>
                <w:bCs/>
                <w:lang w:eastAsia="fr-FR"/>
              </w:rPr>
            </w:r>
          </w:p>
          <w:p>
            <w:pPr>
              <w:pStyle w:val="Normal"/>
              <w:spacing w:lineRule="exact" w:line="300" w:before="0" w:after="0"/>
              <w:ind w:hanging="0"/>
              <w:rPr>
                <w:rFonts w:ascii="Calibri" w:hAnsi="Calibri" w:eastAsia="Calibri" w:cs="Arial"/>
                <w:lang w:eastAsia="fr-FR"/>
              </w:rPr>
            </w:pPr>
            <w:r>
              <w:rPr>
                <w:rFonts w:eastAsia="Calibri" w:cs="Arial"/>
                <w:b/>
                <w:bCs/>
                <w:lang w:eastAsia="fr-FR"/>
              </w:rPr>
              <w:t>Les enfants ne devront pas savoir nager.</w:t>
            </w:r>
          </w:p>
          <w:p>
            <w:pPr>
              <w:pStyle w:val="Normal"/>
              <w:spacing w:lineRule="exact" w:line="300" w:before="0" w:after="0"/>
              <w:ind w:hanging="0"/>
              <w:rPr>
                <w:rFonts w:ascii="Calibri" w:hAnsi="Calibri" w:eastAsia="Calibri" w:cs="Arial"/>
                <w:b/>
                <w:b/>
                <w:bCs/>
                <w:lang w:eastAsia="fr-FR"/>
              </w:rPr>
            </w:pPr>
            <w:r>
              <w:rPr>
                <w:rFonts w:eastAsia="Calibri" w:cs="Arial"/>
                <w:b/>
                <w:bCs/>
                <w:lang w:eastAsia="fr-FR"/>
              </w:rPr>
            </w:r>
          </w:p>
          <w:p>
            <w:pPr>
              <w:pStyle w:val="Normal"/>
              <w:spacing w:lineRule="exact" w:line="300" w:before="0" w:after="0"/>
              <w:ind w:hanging="0"/>
              <w:rPr>
                <w:rFonts w:ascii="Calibri" w:hAnsi="Calibri" w:eastAsia="Calibri" w:cs="Arial"/>
                <w:lang w:eastAsia="fr-FR"/>
              </w:rPr>
            </w:pPr>
            <w:r>
              <w:rPr>
                <w:rFonts w:eastAsia="Calibri" w:cs="Arial"/>
                <w:b/>
                <w:bCs/>
                <w:lang w:eastAsia="fr-FR"/>
              </w:rPr>
              <w:t>Les stages d’apprentissage de la natation concernent les enfants de 6 à 12 ans résidant prioritairement dans les territoires carencés (ZRR, QPV, contrat de ruralité, basisn de vie avec au moins 50% de la population en ZRR).</w:t>
            </w:r>
          </w:p>
          <w:p>
            <w:pPr>
              <w:pStyle w:val="Normal"/>
              <w:spacing w:lineRule="exact" w:line="300" w:before="0" w:after="0"/>
              <w:ind w:hanging="0"/>
              <w:rPr>
                <w:rFonts w:ascii="Calibri" w:hAnsi="Calibri" w:eastAsia="Calibri" w:cs="Arial"/>
                <w:lang w:eastAsia="fr-FR"/>
              </w:rPr>
            </w:pPr>
            <w:r>
              <w:rPr>
                <w:rFonts w:eastAsia="Calibri" w:cs="Arial"/>
                <w:b/>
                <w:bCs/>
                <w:lang w:eastAsia="fr-FR"/>
              </w:rPr>
              <w:t>Les stages d’apprentissage de l’aisance aquatique concernent les enfants de 4 à 6 ans.</w:t>
            </w:r>
          </w:p>
          <w:p>
            <w:pPr>
              <w:pStyle w:val="Normal"/>
              <w:spacing w:before="0" w:after="0"/>
              <w:ind w:hanging="0"/>
              <w:rPr>
                <w:rFonts w:ascii="Calibri" w:hAnsi="Calibri" w:eastAsia="Calibri" w:cs="Arial"/>
                <w:b/>
                <w:b/>
                <w:bCs/>
                <w:lang w:eastAsia="fr-FR"/>
              </w:rPr>
            </w:pPr>
            <w:r>
              <w:rPr>
                <w:rFonts w:eastAsia="Calibri" w:cs="Arial"/>
                <w:b/>
                <w:bCs/>
                <w:lang w:eastAsia="fr-FR"/>
              </w:rPr>
            </w:r>
          </w:p>
          <w:p>
            <w:pPr>
              <w:pStyle w:val="Normal"/>
              <w:spacing w:lineRule="exact" w:line="300" w:before="0" w:after="0"/>
              <w:ind w:hanging="0"/>
              <w:rPr>
                <w:rFonts w:ascii="Calibri" w:hAnsi="Calibri" w:eastAsia="Calibri" w:cs="Arial"/>
              </w:rPr>
            </w:pPr>
            <w:r>
              <w:rPr>
                <w:rFonts w:eastAsia="Calibri" w:cs="Arial"/>
                <w:b/>
                <w:bCs/>
              </w:rPr>
              <w:t>Les actions favorisant l’apprentissage de la natation des enfants en situation de handicap feront l’objet d’une attention particulière. Ces enfants pourront avoir jusqu’à 10 ans pour l’aisance aquatique et 14 ans pour j’apprends à nager.</w:t>
            </w:r>
          </w:p>
          <w:p>
            <w:pPr>
              <w:pStyle w:val="Normal"/>
              <w:spacing w:lineRule="exact" w:line="300" w:before="0" w:after="0"/>
              <w:ind w:hanging="0"/>
              <w:rPr>
                <w:rFonts w:ascii="Calibri" w:hAnsi="Calibri" w:eastAsia="Calibri" w:cs="Arial"/>
                <w:b/>
                <w:b/>
                <w:bCs/>
              </w:rPr>
            </w:pPr>
            <w:r>
              <w:rPr>
                <w:rFonts w:eastAsia="Calibri" w:cs="Arial"/>
                <w:b/>
                <w:bCs/>
              </w:rPr>
            </w:r>
          </w:p>
          <w:p>
            <w:pPr>
              <w:pStyle w:val="Normal"/>
              <w:spacing w:lineRule="exact" w:line="300" w:before="0" w:after="0"/>
              <w:ind w:hanging="0"/>
              <w:rPr>
                <w:rFonts w:ascii="Calibri" w:hAnsi="Calibri" w:eastAsia="Calibri" w:cs="Arial"/>
              </w:rPr>
            </w:pPr>
            <w:r>
              <w:rPr>
                <w:rFonts w:eastAsia="Calibri" w:cs="Arial"/>
                <w:b/>
                <w:bCs/>
              </w:rPr>
              <w:t>Les stages seront gratuits pour les enfants et devront respecter les mesures sanitaires en vigueur.</w:t>
            </w:r>
          </w:p>
          <w:p>
            <w:pPr>
              <w:pStyle w:val="Normal"/>
              <w:spacing w:lineRule="exact" w:line="300" w:before="0" w:after="0"/>
              <w:ind w:hanging="0"/>
              <w:rPr>
                <w:rFonts w:ascii="Calibri" w:hAnsi="Calibri" w:eastAsia="Calibri" w:cs="Arial"/>
                <w:b/>
                <w:b/>
                <w:bCs/>
              </w:rPr>
            </w:pPr>
            <w:r>
              <w:rPr>
                <w:rFonts w:eastAsia="Calibri" w:cs="Arial"/>
                <w:b/>
                <w:bCs/>
              </w:rPr>
            </w:r>
          </w:p>
          <w:p>
            <w:pPr>
              <w:pStyle w:val="Normal"/>
              <w:spacing w:lineRule="exact" w:line="300" w:before="0" w:after="0"/>
              <w:ind w:hanging="0"/>
              <w:rPr>
                <w:rFonts w:ascii="Calibri" w:hAnsi="Calibri" w:eastAsia="Calibri" w:cs="Times New Roman"/>
              </w:rPr>
            </w:pPr>
            <w:r>
              <w:rPr>
                <w:rFonts w:eastAsia="Calibri" w:cs="Arial"/>
                <w:b/>
                <w:bCs/>
              </w:rPr>
              <w:t>Les coopérations entre le mouvement sportif et les collectivités territoriales seront encouragées afin de favoriser l’émergence d’une offre de stages co-organisés.</w:t>
            </w:r>
          </w:p>
        </w:tc>
        <w:tc>
          <w:tcPr>
            <w:tcW w:w="5996" w:type="dxa"/>
            <w:tcBorders>
              <w:top w:val="nil"/>
              <w:bottom w:val="single" w:sz="8" w:space="0" w:color="4F81BD"/>
              <w:insideH w:val="single" w:sz="8" w:space="0" w:color="4F81BD"/>
            </w:tcBorders>
            <w:shd w:color="auto" w:fill="FFFFFF" w:themeFill="background1" w:val="clear"/>
          </w:tcPr>
          <w:p>
            <w:pPr>
              <w:pStyle w:val="Normal"/>
              <w:numPr>
                <w:ilvl w:val="0"/>
                <w:numId w:val="5"/>
              </w:numPr>
              <w:spacing w:lineRule="exact" w:line="30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Les stages devront se dérouler à compter de l’été 2020 jusqu’en juin 2021.</w:t>
            </w:r>
          </w:p>
          <w:p>
            <w:pPr>
              <w:pStyle w:val="Normal"/>
              <w:numPr>
                <w:ilvl w:val="0"/>
                <w:numId w:val="5"/>
              </w:numPr>
              <w:spacing w:lineRule="exact" w:line="30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Les stages d’aisance aquatique devront se dérouler sur les temps scolaires, périscolaires ou extrascolaires.</w:t>
            </w:r>
          </w:p>
          <w:p>
            <w:pPr>
              <w:pStyle w:val="Normal"/>
              <w:numPr>
                <w:ilvl w:val="0"/>
                <w:numId w:val="4"/>
              </w:numPr>
              <w:spacing w:lineRule="exact" w:line="30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Les stages « J’apprends à nager » devront se dérouler pendant les vacances scolaires, les week-end et le temps périscolaire.</w:t>
            </w:r>
          </w:p>
          <w:p>
            <w:pPr>
              <w:pStyle w:val="Normal"/>
              <w:numPr>
                <w:ilvl w:val="0"/>
                <w:numId w:val="4"/>
              </w:numPr>
              <w:spacing w:lineRule="exact" w:line="30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Les stages devront être massés dans le temps sur une 1 à 2 semaines.</w:t>
            </w:r>
          </w:p>
          <w:p>
            <w:pPr>
              <w:pStyle w:val="Normal"/>
              <w:numPr>
                <w:ilvl w:val="0"/>
                <w:numId w:val="4"/>
              </w:numPr>
              <w:spacing w:lineRule="exact" w:line="30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8 séances pour l’aisance aquatique</w:t>
            </w:r>
          </w:p>
          <w:p>
            <w:pPr>
              <w:pStyle w:val="Normal"/>
              <w:numPr>
                <w:ilvl w:val="0"/>
                <w:numId w:val="4"/>
              </w:numPr>
              <w:spacing w:lineRule="atLeast" w:line="300" w:before="0" w:after="0"/>
              <w:ind w:left="714" w:hanging="357"/>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b/>
                <w:b/>
                <w:lang w:eastAsia="fr-FR"/>
              </w:rPr>
            </w:pPr>
            <w:r>
              <w:rPr>
                <w:rFonts w:eastAsia="Calibri" w:cs="Arial"/>
                <w:lang w:eastAsia="fr-FR"/>
              </w:rPr>
              <w:t>Le nombre d’enfants par encadrant ne devra pas excéder 12 (6/12 ans) et 6 (4/6 ans) afin de favoriser un meilleur apprentissage.</w:t>
            </w:r>
          </w:p>
          <w:p>
            <w:pPr>
              <w:pStyle w:val="Normal"/>
              <w:numPr>
                <w:ilvl w:val="0"/>
                <w:numId w:val="4"/>
              </w:numPr>
              <w:spacing w:lineRule="atLeast" w:line="300" w:before="0" w:after="0"/>
              <w:ind w:left="714" w:hanging="357"/>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Times New Roman"/>
              </w:rPr>
              <w:t>Les tranches d’âge doivent être dissociées dans les cycles d’apprentissage et devront faire l’objet de fiches action séparées lors de la demande de subvention.</w:t>
            </w:r>
          </w:p>
          <w:p>
            <w:pPr>
              <w:pStyle w:val="Normal"/>
              <w:numPr>
                <w:ilvl w:val="0"/>
                <w:numId w:val="4"/>
              </w:numPr>
              <w:spacing w:lineRule="atLeast" w:line="300" w:before="0" w:after="0"/>
              <w:ind w:left="714" w:hanging="357"/>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Les séances devront être encadrées dans les conditions de qualification prévues par le Code du sport ;</w:t>
            </w:r>
          </w:p>
          <w:p>
            <w:pPr>
              <w:pStyle w:val="Normal"/>
              <w:numPr>
                <w:ilvl w:val="0"/>
                <w:numId w:val="4"/>
              </w:numPr>
              <w:spacing w:lineRule="atLeast" w:line="300" w:before="0" w:after="0"/>
              <w:ind w:left="714" w:hanging="357"/>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Pour les 6/12 ans, la capacité à savoir nager devra être validée à la fin du stage par la réussite au test Sauv’Nage.</w:t>
            </w:r>
          </w:p>
          <w:p>
            <w:pPr>
              <w:pStyle w:val="Normal"/>
              <w:numPr>
                <w:ilvl w:val="0"/>
                <w:numId w:val="4"/>
              </w:numPr>
              <w:spacing w:lineRule="atLeast" w:line="300" w:before="0" w:after="0"/>
              <w:ind w:left="714" w:hanging="357"/>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Pour les 4/6 ans, l’évaluation devra correspondre aux compétences de 3 paliers du continuum de l’aisance aquatique.</w:t>
            </w:r>
          </w:p>
          <w:p>
            <w:pPr>
              <w:pStyle w:val="Normal"/>
              <w:spacing w:before="0" w:after="0"/>
              <w:ind w:firstLine="318"/>
              <w:cnfStyle w:val="000000100000" w:firstRow="0" w:lastRow="0" w:firstColumn="0" w:lastColumn="0" w:oddVBand="0" w:evenVBand="0" w:oddHBand="1" w:evenHBand="0" w:firstRowFirstColumn="0" w:firstRowLastColumn="0" w:lastRowFirstColumn="0" w:lastRowLastColumn="0"/>
              <w:rPr>
                <w:rFonts w:ascii="Calibri" w:hAnsi="Calibri" w:eastAsia="Calibri" w:cs="Arial"/>
                <w:sz w:val="2"/>
                <w:szCs w:val="2"/>
              </w:rPr>
            </w:pPr>
            <w:r>
              <w:rPr>
                <w:rFonts w:eastAsia="Calibri" w:cs="Arial"/>
                <w:sz w:val="2"/>
                <w:szCs w:val="2"/>
              </w:rPr>
            </w:r>
          </w:p>
          <w:p>
            <w:pPr>
              <w:pStyle w:val="Normal"/>
              <w:spacing w:before="0" w:after="0"/>
              <w:ind w:left="720" w:hanging="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r>
          </w:p>
        </w:tc>
        <w:tc>
          <w:tcPr>
            <w:tcW w:w="4568" w:type="dxa"/>
            <w:tcBorders>
              <w:top w:val="nil"/>
              <w:bottom w:val="single" w:sz="8" w:space="0" w:color="4F81BD"/>
              <w:right w:val="single" w:sz="8" w:space="0" w:color="4F81BD"/>
              <w:insideH w:val="single" w:sz="8" w:space="0" w:color="4F81BD"/>
              <w:insideV w:val="single" w:sz="8" w:space="0" w:color="4F81BD"/>
            </w:tcBorders>
            <w:shd w:color="auto" w:fill="FFFFFF" w:themeFill="background1" w:val="clear"/>
          </w:tcPr>
          <w:p>
            <w:pPr>
              <w:pStyle w:val="Normal"/>
              <w:shd w:val="clear" w:color="auto" w:fill="FFFFFF"/>
              <w:spacing w:lineRule="exact" w:line="300" w:before="0" w:after="0"/>
              <w:ind w:hanging="0"/>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u w:val="single"/>
              </w:rPr>
              <w:t>Pour les associations sportives</w:t>
            </w:r>
            <w:r>
              <w:rPr>
                <w:rFonts w:eastAsia="Calibri" w:cs="Arial"/>
              </w:rPr>
              <w:t>, saisie du dossier en ligne.</w:t>
            </w:r>
          </w:p>
          <w:p>
            <w:pPr>
              <w:pStyle w:val="Normal"/>
              <w:spacing w:lineRule="exact" w:line="300" w:before="0" w:after="0"/>
              <w:ind w:hanging="0"/>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Joindre :</w:t>
            </w:r>
          </w:p>
          <w:p>
            <w:pPr>
              <w:pStyle w:val="Normal"/>
              <w:numPr>
                <w:ilvl w:val="0"/>
                <w:numId w:val="3"/>
              </w:numPr>
              <w:spacing w:lineRule="exact" w:line="30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Pr>
                <w:rFonts w:eastAsia="Calibri" w:cs="Arial"/>
              </w:rPr>
              <w:t>le bilan qualitatif et financier de l’action « J’apprends à nager » subventionnée par l‘ANS en 2019</w:t>
            </w:r>
          </w:p>
          <w:p>
            <w:pPr>
              <w:pStyle w:val="Normal"/>
              <w:numPr>
                <w:ilvl w:val="0"/>
                <w:numId w:val="3"/>
              </w:numPr>
              <w:shd w:val="clear" w:color="auto" w:fill="FFFFFF"/>
              <w:spacing w:lineRule="exact" w:line="300" w:before="0" w:after="0"/>
              <w:ind w:left="360" w:right="-277" w:hanging="3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 xml:space="preserve">le projet associatif </w:t>
            </w:r>
          </w:p>
          <w:p>
            <w:pPr>
              <w:pStyle w:val="Normal"/>
              <w:shd w:val="clear" w:color="auto" w:fill="FFFFFF"/>
              <w:spacing w:lineRule="exact" w:line="300" w:before="0" w:after="0"/>
              <w:ind w:left="360" w:right="-277" w:hanging="0"/>
              <w:contextualSpacing/>
              <w:cnfStyle w:val="000000100000" w:firstRow="0" w:lastRow="0" w:firstColumn="0" w:lastColumn="0" w:oddVBand="0" w:evenVBand="0" w:oddHBand="1" w:evenHBand="0" w:firstRowFirstColumn="0" w:firstRowLastColumn="0" w:lastRowFirstColumn="0" w:lastRowLastColumn="0"/>
              <w:rPr/>
            </w:pPr>
            <w:r>
              <w:rPr/>
            </w:r>
            <w:bookmarkStart w:id="0" w:name="_Toc440362449"/>
            <w:bookmarkStart w:id="1" w:name="_Toc440362449"/>
            <w:bookmarkEnd w:id="1"/>
          </w:p>
          <w:p>
            <w:pPr>
              <w:pStyle w:val="Normal"/>
              <w:spacing w:lineRule="exact" w:line="300" w:before="0" w:after="0"/>
              <w:ind w:hanging="0"/>
              <w:cnfStyle w:val="000000100000" w:firstRow="0" w:lastRow="0" w:firstColumn="0" w:lastColumn="0" w:oddVBand="0" w:evenVBand="0" w:oddHBand="1" w:evenHBand="0" w:firstRowFirstColumn="0" w:firstRowLastColumn="0" w:lastRowFirstColumn="0" w:lastRowLastColumn="0"/>
              <w:rPr/>
            </w:pPr>
            <w:r>
              <w:rPr>
                <w:rFonts w:eastAsia="Calibri" w:cs="Arial"/>
                <w:u w:val="single"/>
              </w:rPr>
              <w:t>Pour les collectivités locales,</w:t>
            </w:r>
            <w:r>
              <w:rPr>
                <w:rFonts w:eastAsia="Calibri" w:cs="Arial"/>
              </w:rPr>
              <w:t xml:space="preserve"> le dossier est à envoyer au format papier (dossier téléchargeable sur le site </w:t>
            </w:r>
            <w:hyperlink r:id="rId4">
              <w:r>
                <w:rPr>
                  <w:rStyle w:val="ListLabel37"/>
                  <w:rFonts w:eastAsia="Calibri" w:cs="Arial"/>
                  <w:u w:val="single"/>
                </w:rPr>
                <w:t>http://normandie.drdjscs.gouv.fr/</w:t>
              </w:r>
            </w:hyperlink>
            <w:r>
              <w:rPr>
                <w:rFonts w:eastAsia="Calibri" w:cs="Arial"/>
              </w:rPr>
              <w:t xml:space="preserve">) </w:t>
            </w:r>
            <w:r>
              <w:rPr>
                <w:rFonts w:eastAsia="Calibri" w:cs="Arial"/>
                <w:lang w:eastAsia="fr-FR"/>
              </w:rPr>
              <w:t>en deux exemplaires :</w:t>
            </w:r>
          </w:p>
          <w:p>
            <w:pPr>
              <w:pStyle w:val="Normal"/>
              <w:spacing w:lineRule="exact" w:line="300" w:before="0" w:after="0"/>
              <w:ind w:hanging="0"/>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DRDJSCS de Normandie</w:t>
            </w:r>
          </w:p>
          <w:p>
            <w:pPr>
              <w:pStyle w:val="Normal"/>
              <w:spacing w:lineRule="exact" w:line="300" w:before="0" w:after="0"/>
              <w:ind w:hanging="0"/>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Pôle Sport</w:t>
            </w:r>
          </w:p>
          <w:p>
            <w:pPr>
              <w:pStyle w:val="Normal"/>
              <w:spacing w:lineRule="exact" w:line="300" w:before="0" w:after="0"/>
              <w:ind w:hanging="0"/>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2 Place Jean Nouzille</w:t>
            </w:r>
          </w:p>
          <w:p>
            <w:pPr>
              <w:pStyle w:val="Normal"/>
              <w:spacing w:lineRule="exact" w:line="300" w:before="0" w:after="0"/>
              <w:ind w:hanging="0"/>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CS 55 427</w:t>
            </w:r>
          </w:p>
          <w:p>
            <w:pPr>
              <w:pStyle w:val="Normal"/>
              <w:spacing w:lineRule="exact" w:line="300" w:before="0" w:after="0"/>
              <w:ind w:left="1069" w:hanging="0"/>
              <w:contextualSpacing/>
              <w:cnfStyle w:val="000000100000" w:firstRow="0" w:lastRow="0" w:firstColumn="0" w:lastColumn="0" w:oddVBand="0" w:evenVBand="0" w:oddHBand="1" w:evenHBand="0" w:firstRowFirstColumn="0" w:firstRowLastColumn="0" w:lastRowFirstColumn="0" w:lastRowLastColumn="0"/>
              <w:rPr>
                <w:rFonts w:ascii="Calibri" w:hAnsi="Calibri" w:eastAsia="Calibri" w:cs="Arial"/>
                <w:lang w:eastAsia="fr-FR"/>
              </w:rPr>
            </w:pPr>
            <w:r>
              <w:rPr>
                <w:rFonts w:eastAsia="Calibri" w:cs="Arial"/>
                <w:lang w:eastAsia="fr-FR"/>
              </w:rPr>
              <w:t>14054 CAEN CEDEX 4</w:t>
            </w:r>
          </w:p>
          <w:p>
            <w:pPr>
              <w:pStyle w:val="Normal"/>
              <w:tabs>
                <w:tab w:val="clear" w:pos="708"/>
                <w:tab w:val="left" w:pos="142" w:leader="none"/>
                <w:tab w:val="left" w:pos="567" w:leader="none"/>
              </w:tabs>
              <w:suppressAutoHyphens w:val="true"/>
              <w:spacing w:lineRule="exact" w:line="300" w:before="0" w:after="0"/>
              <w:ind w:left="33" w:hanging="0"/>
              <w:cnfStyle w:val="000000100000" w:firstRow="0" w:lastRow="0" w:firstColumn="0" w:lastColumn="0" w:oddVBand="0" w:evenVBand="0" w:oddHBand="1" w:evenHBand="0" w:firstRowFirstColumn="0" w:firstRowLastColumn="0" w:lastRowFirstColumn="0" w:lastRowLastColumn="0"/>
              <w:rPr>
                <w:rFonts w:ascii="Calibri" w:hAnsi="Calibri" w:eastAsia="Arial" w:cs="Arial"/>
              </w:rPr>
            </w:pPr>
            <w:r>
              <w:rPr>
                <w:rFonts w:eastAsia="Arial" w:cs="Arial"/>
              </w:rPr>
              <w:t>Joindre la délibération du conseil municipal approuvant l’opération, assurant que la totalité des crédits nécessaires ont été inscrits au budget de la collectivité et sollicitant l’aide de l’ANS.</w:t>
            </w:r>
          </w:p>
          <w:p>
            <w:pPr>
              <w:pStyle w:val="Normal"/>
              <w:widowControl w:val="false"/>
              <w:tabs>
                <w:tab w:val="clear" w:pos="708"/>
                <w:tab w:val="left" w:pos="142" w:leader="none"/>
                <w:tab w:val="left" w:pos="567" w:leader="none"/>
              </w:tabs>
              <w:spacing w:lineRule="exact" w:line="300" w:before="0" w:after="0"/>
              <w:ind w:left="33" w:hanging="0"/>
              <w:cnfStyle w:val="000000100000" w:firstRow="0" w:lastRow="0" w:firstColumn="0" w:lastColumn="0" w:oddVBand="0" w:evenVBand="0" w:oddHBand="1" w:evenHBand="0" w:firstRowFirstColumn="0" w:firstRowLastColumn="0" w:lastRowFirstColumn="0" w:lastRowLastColumn="0"/>
              <w:rPr>
                <w:rFonts w:ascii="Calibri" w:hAnsi="Calibri" w:eastAsia="Calibri" w:cs="Arial"/>
              </w:rPr>
            </w:pPr>
            <w:r>
              <w:rPr>
                <w:rFonts w:eastAsia="Calibri" w:cs="Arial"/>
              </w:rPr>
              <w:t>Joindre le bilan qualitatif et financier de l’action « J’apprends à nager » subventionnée par l’ANS en 2019.</w:t>
            </w:r>
          </w:p>
          <w:p>
            <w:pPr>
              <w:pStyle w:val="Normal"/>
              <w:widowControl w:val="false"/>
              <w:tabs>
                <w:tab w:val="clear" w:pos="708"/>
                <w:tab w:val="left" w:pos="142" w:leader="none"/>
                <w:tab w:val="left" w:pos="567" w:leader="none"/>
              </w:tabs>
              <w:spacing w:before="0" w:after="0"/>
              <w:ind w:left="34" w:hanging="0"/>
              <w:cnfStyle w:val="000000100000" w:firstRow="0" w:lastRow="0" w:firstColumn="0" w:lastColumn="0" w:oddVBand="0" w:evenVBand="0" w:oddHBand="1" w:evenHBand="0" w:firstRowFirstColumn="0" w:firstRowLastColumn="0" w:lastRowFirstColumn="0" w:lastRowLastColumn="0"/>
              <w:rPr>
                <w:rFonts w:ascii="Calibri" w:hAnsi="Calibri" w:eastAsia="Calibri" w:cs="Arial"/>
                <w:sz w:val="12"/>
                <w:szCs w:val="12"/>
              </w:rPr>
            </w:pPr>
            <w:r>
              <w:rPr>
                <w:rFonts w:eastAsia="Calibri" w:cs="Arial"/>
                <w:sz w:val="12"/>
                <w:szCs w:val="12"/>
              </w:rPr>
            </w:r>
          </w:p>
          <w:p>
            <w:pPr>
              <w:pStyle w:val="Normal"/>
              <w:widowControl w:val="false"/>
              <w:tabs>
                <w:tab w:val="clear" w:pos="708"/>
                <w:tab w:val="left" w:pos="142" w:leader="none"/>
                <w:tab w:val="left" w:pos="567" w:leader="none"/>
              </w:tabs>
              <w:spacing w:lineRule="exact" w:line="300" w:before="0" w:after="0"/>
              <w:ind w:left="33" w:hanging="0"/>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Pr>
                <w:rFonts w:eastAsia="Calibri" w:cs="Times New Roman"/>
                <w:smallCaps/>
              </w:rPr>
              <w:t>Appel à projets ouvert à toutes les disciplines sportives.</w:t>
            </w:r>
          </w:p>
        </w:tc>
      </w:tr>
    </w:tbl>
    <w:p>
      <w:pPr>
        <w:pStyle w:val="Normal"/>
        <w:ind w:hanging="0"/>
        <w:rPr/>
      </w:pPr>
      <w:r>
        <w:rPr/>
      </w:r>
    </w:p>
    <w:p>
      <w:pPr>
        <w:pStyle w:val="Normal"/>
        <w:ind w:hanging="0"/>
        <w:rPr/>
      </w:pPr>
      <w:r>
        <w:rPr/>
      </w:r>
    </w:p>
    <w:p>
      <w:pPr>
        <w:pStyle w:val="Normal"/>
        <w:spacing w:lineRule="exact" w:line="300" w:before="0" w:after="0"/>
        <w:rPr/>
      </w:pPr>
      <w:r>
        <w:rPr/>
      </w:r>
    </w:p>
    <w:p>
      <w:pPr>
        <w:pStyle w:val="IntenseQuote"/>
        <w:spacing w:lineRule="exact" w:line="300" w:before="0" w:after="0"/>
        <w:rPr/>
      </w:pPr>
      <w:bookmarkStart w:id="2" w:name="_Toc7772675"/>
      <w:r>
        <w:rPr/>
        <w:t>Procédure de vérification</w:t>
      </w:r>
      <w:bookmarkEnd w:id="2"/>
    </w:p>
    <w:p>
      <w:pPr>
        <w:pStyle w:val="Normal"/>
        <w:spacing w:lineRule="exact" w:line="300" w:before="0" w:after="0"/>
        <w:rPr>
          <w:rFonts w:cs="Arial"/>
          <w:color w:val="000000"/>
        </w:rPr>
      </w:pPr>
      <w:r>
        <w:rPr>
          <w:rFonts w:cs="Arial"/>
          <w:color w:val="000000"/>
        </w:rPr>
        <w:t>Pour information, les bénéficiaires peuvent faire l'objet d'un contrôle a posteriori relatif à la conformité de la réalisation du projet subventionné. Lors de la mise en place de vos actions, nous vous conseillons de recueillir différentes pièces telles que : articles de presse, listes d’émargement, photos, comptes-rendus de réunions, factures, … toute pièce permettant de justifier que l’action a bien été réalisée.</w:t>
      </w:r>
    </w:p>
    <w:p>
      <w:pPr>
        <w:pStyle w:val="Normal"/>
        <w:spacing w:lineRule="exact" w:line="300" w:before="0" w:after="0"/>
        <w:rPr>
          <w:rFonts w:cs="Arial"/>
          <w:color w:val="000000"/>
        </w:rPr>
      </w:pPr>
      <w:r>
        <w:rPr>
          <w:rFonts w:cs="Arial"/>
          <w:color w:val="000000"/>
        </w:rPr>
      </w:r>
    </w:p>
    <w:p>
      <w:pPr>
        <w:pStyle w:val="IntenseQuote"/>
        <w:spacing w:lineRule="exact" w:line="300" w:before="0" w:after="0"/>
        <w:rPr/>
      </w:pPr>
      <w:bookmarkStart w:id="3" w:name="_Toc7772676"/>
      <w:r>
        <w:rPr/>
        <w:t>Logo</w:t>
      </w:r>
      <w:bookmarkEnd w:id="3"/>
    </w:p>
    <w:p>
      <w:pPr>
        <w:pStyle w:val="Normal"/>
        <w:spacing w:lineRule="exact" w:line="300" w:before="0" w:after="0"/>
        <w:rPr/>
      </w:pPr>
      <w:r>
        <w:rPr>
          <w:rFonts w:cs="Arial"/>
          <w:color w:val="000000"/>
        </w:rPr>
        <w:t>Les bénéficiaires de subvention apposeront le logo de l’ANS sur tous les documents ou supports de communication relatifs aux actions financées.</w:t>
      </w:r>
    </w:p>
    <w:p>
      <w:pPr>
        <w:pStyle w:val="Normal"/>
        <w:spacing w:lineRule="exact" w:line="300" w:before="0" w:after="0"/>
        <w:rPr/>
      </w:pPr>
      <w:r>
        <w:rPr/>
      </w:r>
    </w:p>
    <w:p>
      <w:pPr>
        <w:pStyle w:val="IntenseQuote"/>
        <w:spacing w:lineRule="exact" w:line="300" w:before="0" w:after="0"/>
        <w:rPr/>
      </w:pPr>
      <w:bookmarkStart w:id="4" w:name="_Toc7772677"/>
      <w:r>
        <w:rPr/>
        <w:t>Critères de recevabilité des dossiers</w:t>
      </w:r>
      <w:bookmarkEnd w:id="4"/>
    </w:p>
    <w:p>
      <w:pPr>
        <w:pStyle w:val="Normal"/>
        <w:spacing w:before="0" w:after="0"/>
        <w:rPr/>
      </w:pPr>
      <w:r>
        <w:rPr>
          <w:rFonts w:cs="Arial"/>
        </w:rPr>
        <w:t>►</w:t>
      </w:r>
      <w:r>
        <w:rPr/>
        <w:t xml:space="preserve"> </w:t>
      </w:r>
      <w:r>
        <w:rPr/>
        <w:t xml:space="preserve">Tout dossier doit être complet et transmis par l’intermédiaire de l’application « leCompteasso » dans les délais impartis : </w:t>
      </w:r>
      <w:hyperlink r:id="rId5">
        <w:r>
          <w:rPr>
            <w:rStyle w:val="LienInternet"/>
          </w:rPr>
          <w:t>http://www.associations.gouv.fr/le-compte-asso.html</w:t>
        </w:r>
      </w:hyperlink>
      <w:r>
        <w:rPr>
          <w:rStyle w:val="LienInternet"/>
          <w:color w:val="auto"/>
          <w:u w:val="none"/>
        </w:rPr>
        <w:t>. Pour les collectivités,</w:t>
      </w:r>
      <w:r>
        <w:rPr>
          <w:rStyle w:val="LienInternet"/>
          <w:color w:val="auto"/>
        </w:rPr>
        <w:t xml:space="preserve"> la demande doit être déposée par l’intermédiaire d’un dossier CERFA à la DRDJSCS de Normandie.</w:t>
      </w:r>
    </w:p>
    <w:p>
      <w:pPr>
        <w:pStyle w:val="Normal"/>
        <w:spacing w:lineRule="exact" w:line="300" w:before="0" w:after="0"/>
        <w:rPr/>
      </w:pPr>
      <w:r>
        <w:rPr>
          <w:rFonts w:cs="Arial"/>
        </w:rPr>
        <w:t>►</w:t>
      </w:r>
      <w:r>
        <w:rPr/>
        <w:t xml:space="preserve"> </w:t>
      </w:r>
      <w:r>
        <w:rPr/>
        <w:t>Toute association ou collectivité subventionnée en 2019 pourra prétendre à une nouvelle subvention en 2020 en fournissant les comptes-rendus financier et qualitatif des actions aidées en 2019 (téléchargeable sur le site de la DRDJSCS).</w:t>
      </w:r>
    </w:p>
    <w:p>
      <w:pPr>
        <w:sectPr>
          <w:type w:val="nextPage"/>
          <w:pgSz w:orient="landscape" w:w="16838" w:h="11906"/>
          <w:pgMar w:left="1417" w:right="1417" w:header="0" w:top="851" w:footer="0" w:bottom="426" w:gutter="0"/>
          <w:pgNumType w:fmt="decimal"/>
          <w:formProt w:val="false"/>
          <w:titlePg/>
          <w:textDirection w:val="lrTb"/>
          <w:docGrid w:type="default" w:linePitch="360" w:charSpace="4096"/>
        </w:sectPr>
        <w:pStyle w:val="Normal"/>
        <w:spacing w:lineRule="exact" w:line="300" w:before="0" w:after="0"/>
        <w:rPr/>
      </w:pPr>
      <w:r>
        <w:rPr>
          <w:rFonts w:cs="Arial"/>
        </w:rPr>
        <w:t>►</w:t>
      </w:r>
      <w:r>
        <w:rPr/>
        <w:t xml:space="preserve"> </w:t>
      </w:r>
      <w:r>
        <w:rPr/>
        <w:t>Pour les associations, il est obligatoire de joindre votre projet associatif lors de la saisie du dossier.</w:t>
      </w:r>
    </w:p>
    <w:p>
      <w:pPr>
        <w:pStyle w:val="Normal"/>
        <w:spacing w:before="0" w:after="120"/>
        <w:ind w:hanging="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default"/>
  </w:font>
  <w:font w:name="Arial">
    <w:charset w:val="01"/>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26"/>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0"/>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4a02"/>
    <w:pPr>
      <w:widowControl/>
      <w:bidi w:val="0"/>
      <w:spacing w:lineRule="auto" w:line="276" w:before="0" w:after="120"/>
      <w:ind w:firstLine="709"/>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914a02"/>
    <w:rPr>
      <w:color w:val="0000FF" w:themeColor="hyperlink"/>
      <w:u w:val="single"/>
    </w:rPr>
  </w:style>
  <w:style w:type="character" w:styleId="CitationintenseCar" w:customStyle="1">
    <w:name w:val="Citation intense Car"/>
    <w:basedOn w:val="DefaultParagraphFont"/>
    <w:link w:val="Citationintense"/>
    <w:uiPriority w:val="30"/>
    <w:qFormat/>
    <w:rsid w:val="00914a02"/>
    <w:rPr>
      <w:b/>
      <w:bCs/>
      <w:i/>
      <w:iCs/>
      <w:color w:val="4F81BD" w:themeColor="accent1"/>
    </w:rPr>
  </w:style>
  <w:style w:type="character" w:styleId="TextedebullesCar" w:customStyle="1">
    <w:name w:val="Texte de bulles Car"/>
    <w:basedOn w:val="DefaultParagraphFont"/>
    <w:link w:val="Textedebulles"/>
    <w:uiPriority w:val="99"/>
    <w:semiHidden/>
    <w:qFormat/>
    <w:rsid w:val="00914a02"/>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libri" w:hAnsi="Calibri" w:eastAsia="Times New Roman" w:cs="Arial"/>
      <w:b/>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Calibri" w:hAnsi="Calibri" w:eastAsia="Calibri" w:cs="Calibri"/>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color w:val="auto"/>
      <w:sz w:val="24"/>
      <w:szCs w:val="24"/>
      <w:u w:val="none"/>
    </w:rPr>
  </w:style>
  <w:style w:type="character" w:styleId="ListLabel37">
    <w:name w:val="ListLabel 37"/>
    <w:qFormat/>
    <w:rPr>
      <w:rFonts w:ascii="Calibri" w:hAnsi="Calibri" w:eastAsia="Calibri" w:cs="Arial"/>
      <w:u w:val="single"/>
    </w:rPr>
  </w:style>
  <w:style w:type="character" w:styleId="ListLabel38">
    <w:name w:val="ListLabel 38"/>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IntenseQuote">
    <w:name w:val="Intense Quote"/>
    <w:basedOn w:val="Normal"/>
    <w:next w:val="Normal"/>
    <w:link w:val="CitationintenseCar"/>
    <w:uiPriority w:val="30"/>
    <w:qFormat/>
    <w:rsid w:val="00914a02"/>
    <w:pPr>
      <w:pBdr>
        <w:bottom w:val="single" w:sz="4" w:space="4" w:color="4F81BD"/>
      </w:pBdr>
      <w:spacing w:before="0" w:after="240"/>
      <w:ind w:left="936" w:right="936" w:firstLine="709"/>
    </w:pPr>
    <w:rPr>
      <w:b/>
      <w:bCs/>
      <w:i/>
      <w:iCs/>
      <w:color w:val="4F81BD" w:themeColor="accent1"/>
    </w:rPr>
  </w:style>
  <w:style w:type="paragraph" w:styleId="ListParagraph">
    <w:name w:val="List Paragraph"/>
    <w:basedOn w:val="Normal"/>
    <w:uiPriority w:val="34"/>
    <w:qFormat/>
    <w:rsid w:val="00914a02"/>
    <w:pPr>
      <w:spacing w:before="0" w:after="120"/>
      <w:ind w:left="720" w:firstLine="709"/>
      <w:contextualSpacing/>
    </w:pPr>
    <w:rPr/>
  </w:style>
  <w:style w:type="paragraph" w:styleId="BalloonText">
    <w:name w:val="Balloon Text"/>
    <w:basedOn w:val="Normal"/>
    <w:link w:val="TextedebullesCar"/>
    <w:uiPriority w:val="99"/>
    <w:semiHidden/>
    <w:unhideWhenUsed/>
    <w:qFormat/>
    <w:rsid w:val="00914a02"/>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Listeclaire-Accent61">
    <w:name w:val="Liste claire - Accent 61"/>
    <w:basedOn w:val="TableauNormal"/>
    <w:uiPriority w:val="61"/>
    <w:rsid w:val="004f2ca3"/>
    <w:pPr>
      <w:spacing w:after="0" w:line="240" w:lineRule="auto"/>
    </w:p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Pr/>
    </w:tblStylePr>
    <w:tblStylePr w:type="lastCol">
      <w:rPr>
        <w:b/>
        <w:bCs/>
      </w:rPr>
      <w:tbl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steclaire-Accent6">
    <w:name w:val="Light List Accent 6"/>
    <w:basedOn w:val="TableauNormal"/>
    <w:uiPriority w:val="61"/>
    <w:rsid w:val="004f2ca3"/>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ecompteasso.associations.gouv.fr/login" TargetMode="External"/><Relationship Id="rId4" Type="http://schemas.openxmlformats.org/officeDocument/2006/relationships/hyperlink" Target="http://normandie.drdjscs.gouv.fr/" TargetMode="External"/><Relationship Id="rId5" Type="http://schemas.openxmlformats.org/officeDocument/2006/relationships/hyperlink" Target="http://www.associations.gouv.fr/le-compte-asso.htm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8A0F-0452-46EF-B535-23B71DED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LibreOffice/6.1.6.3.M9$Windows_X86_64 LibreOffice_project/ba0884e6ed0832b75b86e5a1cd45ee961485837a</Application>
  <Pages>3</Pages>
  <Words>967</Words>
  <Characters>5210</Characters>
  <CharactersWithSpaces>6094</CharactersWithSpaces>
  <Paragraphs>68</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2020-06-24T15:23:18Z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